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5375C8" w:rsidRDefault="00341A9D" w:rsidP="00682DC6">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p>
    <w:p w:rsidR="006D08A7" w:rsidRDefault="006D08A7" w:rsidP="006D08A7">
      <w:pPr>
        <w:rPr>
          <w:b/>
          <w:bCs/>
        </w:rPr>
      </w:pPr>
    </w:p>
    <w:p w:rsidR="001D3819" w:rsidRDefault="001D3819"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1D3819" w:rsidRPr="001D3819" w:rsidRDefault="001D3819" w:rsidP="00CA5F72">
      <w:pPr>
        <w:spacing w:line="276" w:lineRule="auto"/>
        <w:rPr>
          <w:rFonts w:eastAsia="Calibri"/>
          <w:lang w:eastAsia="en-US"/>
        </w:rPr>
      </w:pPr>
    </w:p>
    <w:p w:rsidR="00682DC6" w:rsidRDefault="00682DC6" w:rsidP="005375C8">
      <w:pPr>
        <w:jc w:val="right"/>
        <w:rPr>
          <w:bCs/>
        </w:rPr>
      </w:pPr>
    </w:p>
    <w:p w:rsidR="00682DC6" w:rsidRDefault="00682DC6" w:rsidP="005375C8">
      <w:pPr>
        <w:jc w:val="right"/>
        <w:rPr>
          <w:bCs/>
        </w:rPr>
      </w:pPr>
    </w:p>
    <w:p w:rsidR="00682DC6" w:rsidRDefault="00682DC6" w:rsidP="005375C8">
      <w:pPr>
        <w:jc w:val="right"/>
        <w:rPr>
          <w:bCs/>
        </w:rPr>
      </w:pPr>
    </w:p>
    <w:p w:rsidR="00682DC6" w:rsidRDefault="00682DC6" w:rsidP="005375C8">
      <w:pPr>
        <w:jc w:val="right"/>
        <w:rPr>
          <w:bCs/>
        </w:rPr>
      </w:pPr>
    </w:p>
    <w:p w:rsidR="00682DC6" w:rsidRDefault="00682DC6" w:rsidP="005375C8">
      <w:pPr>
        <w:jc w:val="right"/>
        <w:rPr>
          <w:bCs/>
        </w:rPr>
      </w:pPr>
    </w:p>
    <w:p w:rsidR="00682DC6" w:rsidRDefault="00682DC6" w:rsidP="005375C8">
      <w:pPr>
        <w:jc w:val="right"/>
        <w:rPr>
          <w:bCs/>
        </w:rPr>
      </w:pPr>
    </w:p>
    <w:p w:rsidR="00682DC6" w:rsidRDefault="00682DC6" w:rsidP="005375C8">
      <w:pPr>
        <w:jc w:val="right"/>
        <w:rPr>
          <w:bCs/>
        </w:rPr>
      </w:pPr>
      <w:bookmarkStart w:id="0" w:name="_GoBack"/>
      <w:bookmarkEnd w:id="0"/>
    </w:p>
    <w:p w:rsidR="00682DC6" w:rsidRDefault="00682DC6" w:rsidP="005375C8">
      <w:pPr>
        <w:jc w:val="right"/>
        <w:rPr>
          <w:bCs/>
        </w:rPr>
      </w:pPr>
    </w:p>
    <w:p w:rsidR="007D183E" w:rsidRDefault="007D183E" w:rsidP="005375C8">
      <w:pPr>
        <w:jc w:val="right"/>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CA5F72">
        <w:rPr>
          <w:sz w:val="26"/>
          <w:szCs w:val="26"/>
        </w:rPr>
        <w:t>электротехнических материалов</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451D5">
        <w:rPr>
          <w:iCs/>
        </w:rPr>
        <w:t>28</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CA5F72">
        <w:t>электротехнических материалов</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A5F7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CA5F72" w:rsidP="00C933E2">
            <w:pPr>
              <w:pStyle w:val="Default"/>
              <w:jc w:val="both"/>
            </w:pPr>
            <w:r>
              <w:t>Фаткуллина Гульнара Рифатовна</w:t>
            </w:r>
          </w:p>
          <w:p w:rsidR="00C933E2" w:rsidRPr="006442EF" w:rsidRDefault="00C933E2" w:rsidP="00C933E2">
            <w:pPr>
              <w:pStyle w:val="Default"/>
              <w:jc w:val="both"/>
            </w:pPr>
            <w:r w:rsidRPr="00D93D3D">
              <w:rPr>
                <w:bCs/>
              </w:rPr>
              <w:t>тел</w:t>
            </w:r>
            <w:r w:rsidR="00CA5F72" w:rsidRPr="006442EF">
              <w:rPr>
                <w:bCs/>
              </w:rPr>
              <w:t>. + 7 (347) 221-56-63</w:t>
            </w:r>
            <w:r w:rsidRPr="006442EF">
              <w:rPr>
                <w:bCs/>
              </w:rPr>
              <w:t xml:space="preserve">, </w:t>
            </w:r>
            <w:r w:rsidRPr="00D93D3D">
              <w:rPr>
                <w:bCs/>
                <w:lang w:val="en-US"/>
              </w:rPr>
              <w:t>e</w:t>
            </w:r>
            <w:r w:rsidRPr="006442EF">
              <w:rPr>
                <w:bCs/>
              </w:rPr>
              <w:t>-</w:t>
            </w:r>
            <w:r w:rsidRPr="00D93D3D">
              <w:rPr>
                <w:bCs/>
                <w:lang w:val="en-US"/>
              </w:rPr>
              <w:t>mail</w:t>
            </w:r>
            <w:r w:rsidRPr="006442EF">
              <w:rPr>
                <w:bCs/>
              </w:rPr>
              <w:t>:</w:t>
            </w:r>
            <w:r w:rsidRPr="006442EF">
              <w:rPr>
                <w:rFonts w:eastAsia="Times New Roman"/>
                <w:color w:val="777777"/>
                <w:lang w:eastAsia="ru-RU"/>
              </w:rPr>
              <w:t xml:space="preserve"> </w:t>
            </w:r>
            <w:hyperlink r:id="rId15" w:history="1">
              <w:r w:rsidR="00CA5F72" w:rsidRPr="00815721">
                <w:rPr>
                  <w:rStyle w:val="a6"/>
                  <w:lang w:val="en-US"/>
                </w:rPr>
                <w:t>g</w:t>
              </w:r>
              <w:r w:rsidR="00CA5F72" w:rsidRPr="006442EF">
                <w:rPr>
                  <w:rStyle w:val="a6"/>
                </w:rPr>
                <w:t>.</w:t>
              </w:r>
              <w:r w:rsidR="00CA5F72" w:rsidRPr="00815721">
                <w:rPr>
                  <w:rStyle w:val="a6"/>
                  <w:lang w:val="en-US"/>
                </w:rPr>
                <w:t>fatkullina</w:t>
              </w:r>
              <w:r w:rsidR="00CA5F72" w:rsidRPr="006442EF">
                <w:rPr>
                  <w:rStyle w:val="a6"/>
                </w:rPr>
                <w:t>@</w:t>
              </w:r>
              <w:r w:rsidR="00CA5F72" w:rsidRPr="00815721">
                <w:rPr>
                  <w:rStyle w:val="a6"/>
                  <w:lang w:val="en-US"/>
                </w:rPr>
                <w:t>bashtel</w:t>
              </w:r>
              <w:r w:rsidR="00CA5F72" w:rsidRPr="006442EF">
                <w:rPr>
                  <w:rStyle w:val="a6"/>
                </w:rPr>
                <w:t>.</w:t>
              </w:r>
              <w:r w:rsidR="00CA5F72" w:rsidRPr="00815721">
                <w:rPr>
                  <w:rStyle w:val="a6"/>
                  <w:lang w:val="en-US"/>
                </w:rPr>
                <w:t>ru</w:t>
              </w:r>
            </w:hyperlink>
            <w:r w:rsidR="00CA5F72" w:rsidRPr="006442EF">
              <w:t xml:space="preserve"> </w:t>
            </w:r>
          </w:p>
          <w:p w:rsidR="00CA5F72" w:rsidRDefault="00CA5F72" w:rsidP="00C933E2">
            <w:pPr>
              <w:pStyle w:val="Default"/>
              <w:jc w:val="both"/>
            </w:pPr>
            <w:r>
              <w:t>Кощеев Сергей Анатольевич</w:t>
            </w:r>
          </w:p>
          <w:p w:rsidR="00C933E2" w:rsidRPr="006442EF" w:rsidRDefault="00CA5F72" w:rsidP="00C933E2">
            <w:pPr>
              <w:pStyle w:val="Default"/>
              <w:jc w:val="both"/>
            </w:pPr>
            <w:r w:rsidRPr="00D93D3D">
              <w:rPr>
                <w:bCs/>
              </w:rPr>
              <w:t>тел</w:t>
            </w:r>
            <w:r w:rsidRPr="006442EF">
              <w:rPr>
                <w:bCs/>
              </w:rPr>
              <w:t xml:space="preserve">. + 7 (347) 221-54-18, </w:t>
            </w:r>
            <w:r w:rsidRPr="00D93D3D">
              <w:rPr>
                <w:bCs/>
                <w:lang w:val="en-US"/>
              </w:rPr>
              <w:t>e</w:t>
            </w:r>
            <w:r w:rsidRPr="006442EF">
              <w:rPr>
                <w:bCs/>
              </w:rPr>
              <w:t>-</w:t>
            </w:r>
            <w:r w:rsidRPr="00D93D3D">
              <w:rPr>
                <w:bCs/>
                <w:lang w:val="en-US"/>
              </w:rPr>
              <w:t>mail</w:t>
            </w:r>
            <w:r w:rsidRPr="006442EF">
              <w:rPr>
                <w:bCs/>
              </w:rPr>
              <w:t>:</w:t>
            </w:r>
            <w:r w:rsidRPr="006442EF">
              <w:rPr>
                <w:rFonts w:eastAsia="Times New Roman"/>
                <w:color w:val="777777"/>
                <w:lang w:eastAsia="ru-RU"/>
              </w:rPr>
              <w:t xml:space="preserve"> </w:t>
            </w:r>
            <w:hyperlink r:id="rId16" w:history="1">
              <w:r w:rsidRPr="00815721">
                <w:rPr>
                  <w:rStyle w:val="a6"/>
                  <w:lang w:val="en-US"/>
                </w:rPr>
                <w:t>Koshcheev</w:t>
              </w:r>
              <w:r w:rsidRPr="006442EF">
                <w:rPr>
                  <w:rStyle w:val="a6"/>
                </w:rPr>
                <w:t>@</w:t>
              </w:r>
              <w:r w:rsidRPr="00815721">
                <w:rPr>
                  <w:rStyle w:val="a6"/>
                  <w:lang w:val="en-US"/>
                </w:rPr>
                <w:t>bashtel</w:t>
              </w:r>
              <w:r w:rsidRPr="006442EF">
                <w:rPr>
                  <w:rStyle w:val="a6"/>
                </w:rPr>
                <w:t>.</w:t>
              </w:r>
              <w:r w:rsidRPr="00815721">
                <w:rPr>
                  <w:rStyle w:val="a6"/>
                  <w:lang w:val="en-US"/>
                </w:rPr>
                <w:t>ru</w:t>
              </w:r>
            </w:hyperlink>
            <w:r w:rsidRPr="006442EF">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D3819" w:rsidP="00741ED9">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787ECE">
              <w:t>электротехнических материалов</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042E6A">
              <w:rPr>
                <w:rFonts w:eastAsia="Calibri"/>
                <w:iCs/>
                <w:color w:val="000000"/>
              </w:rPr>
              <w:t>2</w:t>
            </w:r>
            <w:r w:rsidR="00575098">
              <w:rPr>
                <w:rFonts w:eastAsia="Calibri"/>
                <w:iCs/>
                <w:color w:val="000000"/>
              </w:rPr>
              <w:t xml:space="preserve"> </w:t>
            </w:r>
            <w:r w:rsidR="00710117" w:rsidRPr="00710117">
              <w:rPr>
                <w:rFonts w:eastAsia="Calibri"/>
                <w:iCs/>
                <w:color w:val="000000"/>
              </w:rPr>
              <w:t>5</w:t>
            </w:r>
            <w:r w:rsidR="00575098">
              <w:rPr>
                <w:rFonts w:eastAsia="Calibri"/>
                <w:iCs/>
                <w:color w:val="000000"/>
              </w:rPr>
              <w:t>0</w:t>
            </w:r>
            <w:r w:rsidR="00710117" w:rsidRPr="00710117">
              <w:rPr>
                <w:rFonts w:eastAsia="Calibri"/>
                <w:iCs/>
                <w:color w:val="000000"/>
              </w:rPr>
              <w:t>0 000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042E6A">
              <w:rPr>
                <w:rFonts w:eastAsia="Calibri"/>
                <w:iCs/>
                <w:color w:val="000000"/>
              </w:rPr>
              <w:t>Два</w:t>
            </w:r>
            <w:r w:rsidR="00575098">
              <w:rPr>
                <w:rFonts w:eastAsia="Calibri"/>
                <w:iCs/>
                <w:color w:val="000000"/>
              </w:rPr>
              <w:t xml:space="preserve"> миллион</w:t>
            </w:r>
            <w:r w:rsidR="00042E6A">
              <w:rPr>
                <w:rFonts w:eastAsia="Calibri"/>
                <w:iCs/>
                <w:color w:val="000000"/>
              </w:rPr>
              <w:t>а</w:t>
            </w:r>
            <w:r w:rsidR="00575098">
              <w:rPr>
                <w:rFonts w:eastAsia="Calibri"/>
                <w:iCs/>
                <w:color w:val="000000"/>
              </w:rPr>
              <w:t xml:space="preserve"> пятьсот </w:t>
            </w:r>
            <w:r w:rsidRPr="00D15BA2">
              <w:rPr>
                <w:rFonts w:eastAsia="Calibri"/>
                <w:iCs/>
                <w:color w:val="000000"/>
              </w:rPr>
              <w:t>тысяч</w:t>
            </w:r>
            <w:r w:rsidR="00F22AB1">
              <w:rPr>
                <w:rFonts w:eastAsia="Calibri"/>
                <w:iCs/>
                <w:color w:val="000000"/>
              </w:rPr>
              <w:t>)</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коп., </w:t>
            </w:r>
            <w:r w:rsidRPr="00D15BA2">
              <w:rPr>
                <w:rFonts w:eastAsia="Calibri"/>
                <w:iCs/>
                <w:color w:val="000000"/>
              </w:rPr>
              <w:t>в том числе сумма НДС (18%)</w:t>
            </w:r>
            <w:r w:rsidR="00710117">
              <w:rPr>
                <w:rFonts w:eastAsia="Calibri"/>
                <w:iCs/>
                <w:color w:val="000000"/>
              </w:rPr>
              <w:t xml:space="preserve"> </w:t>
            </w:r>
            <w:r w:rsidR="00042E6A">
              <w:rPr>
                <w:rFonts w:eastAsia="Calibri"/>
                <w:iCs/>
                <w:color w:val="000000"/>
              </w:rPr>
              <w:t>381 355,93</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042E6A">
              <w:rPr>
                <w:rFonts w:eastAsia="Calibri"/>
                <w:iCs/>
                <w:color w:val="000000"/>
              </w:rPr>
              <w:t>2 118 644,07</w:t>
            </w:r>
            <w:r w:rsidR="00840E63">
              <w:rPr>
                <w:rFonts w:eastAsia="Calibri"/>
                <w:iCs/>
                <w:color w:val="000000"/>
              </w:rPr>
              <w:t xml:space="preserve"> руб. </w:t>
            </w:r>
          </w:p>
          <w:p w:rsidR="00341A9D" w:rsidRPr="00F9336B" w:rsidRDefault="00736155" w:rsidP="00042E6A">
            <w:pPr>
              <w:autoSpaceDE w:val="0"/>
              <w:autoSpaceDN w:val="0"/>
              <w:adjustRightInd w:val="0"/>
              <w:jc w:val="both"/>
              <w:rPr>
                <w:iCs/>
              </w:rPr>
            </w:pPr>
            <w:r w:rsidRPr="00736155">
              <w:rPr>
                <w:rFonts w:eastAsia="Calibri"/>
                <w:iCs/>
                <w:color w:val="000000"/>
              </w:rPr>
              <w:t>(</w:t>
            </w:r>
            <w:r w:rsidR="00042E6A">
              <w:rPr>
                <w:rFonts w:eastAsia="Calibri"/>
                <w:iCs/>
                <w:color w:val="000000"/>
              </w:rPr>
              <w:t>Два миллиона сто восемнадцать тысяч шестьсот сорок четыре)</w:t>
            </w:r>
            <w:r w:rsidR="003A05EF">
              <w:rPr>
                <w:rFonts w:eastAsia="Calibri"/>
                <w:iCs/>
                <w:color w:val="000000"/>
              </w:rPr>
              <w:t xml:space="preserve"> </w:t>
            </w:r>
            <w:r w:rsidR="0079619B" w:rsidRPr="00D15BA2">
              <w:rPr>
                <w:rFonts w:eastAsia="Calibri"/>
                <w:iCs/>
                <w:color w:val="000000"/>
              </w:rPr>
              <w:t>рубл</w:t>
            </w:r>
            <w:r w:rsidR="00042E6A">
              <w:rPr>
                <w:rFonts w:eastAsia="Calibri"/>
                <w:iCs/>
                <w:color w:val="000000"/>
              </w:rPr>
              <w:t>я</w:t>
            </w:r>
            <w:r w:rsidR="0079619B" w:rsidRPr="00D15BA2">
              <w:rPr>
                <w:rFonts w:eastAsia="Calibri"/>
                <w:iCs/>
                <w:color w:val="000000"/>
              </w:rPr>
              <w:t xml:space="preserve"> </w:t>
            </w:r>
            <w:r w:rsidR="00042E6A">
              <w:rPr>
                <w:rFonts w:eastAsia="Calibri"/>
                <w:iCs/>
                <w:color w:val="000000"/>
              </w:rPr>
              <w:t>07</w:t>
            </w:r>
            <w:r w:rsidR="0079619B" w:rsidRPr="00D15BA2">
              <w:rPr>
                <w:rFonts w:eastAsia="Calibri"/>
                <w:iCs/>
                <w:color w:val="000000"/>
              </w:rPr>
              <w:t xml:space="preserve"> коп.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A40979">
              <w:rPr>
                <w:iCs/>
              </w:rPr>
              <w:t>28</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A40979">
              <w:rPr>
                <w:iCs/>
              </w:rPr>
              <w:t>2</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3A05EF">
            <w:pPr>
              <w:pStyle w:val="Default"/>
              <w:jc w:val="both"/>
              <w:rPr>
                <w:iCs/>
              </w:rPr>
            </w:pPr>
            <w:r w:rsidRPr="00922226">
              <w:rPr>
                <w:iCs/>
              </w:rPr>
              <w:t>«</w:t>
            </w:r>
            <w:r w:rsidR="00A40979">
              <w:rPr>
                <w:iCs/>
              </w:rPr>
              <w:t>18</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A40979">
            <w:pPr>
              <w:pStyle w:val="Default"/>
              <w:rPr>
                <w:iCs/>
              </w:rPr>
            </w:pPr>
            <w:r w:rsidRPr="00654835">
              <w:rPr>
                <w:iCs/>
              </w:rPr>
              <w:t>«</w:t>
            </w:r>
            <w:r w:rsidR="00A40979">
              <w:rPr>
                <w:iCs/>
              </w:rPr>
              <w:t>18</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553301">
              <w:t>26</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553301">
              <w:t>26</w:t>
            </w:r>
            <w:r w:rsidR="00C66D83" w:rsidRPr="00C66D83">
              <w:t xml:space="preserve">»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553301">
              <w:t>11</w:t>
            </w:r>
            <w:r w:rsidR="006D0E4A">
              <w:t>»</w:t>
            </w:r>
            <w:r w:rsidRPr="00922226">
              <w:t xml:space="preserve"> </w:t>
            </w:r>
            <w:r w:rsidR="00A40979">
              <w:t>ма</w:t>
            </w:r>
            <w:r w:rsidR="00DE47CB">
              <w:t>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75E6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C2619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26194" w:rsidRDefault="00C26194" w:rsidP="00C26194">
            <w:pPr>
              <w:pStyle w:val="Default"/>
              <w:jc w:val="both"/>
            </w:pPr>
            <w:r>
              <w:t>Фаткуллина Гульнара Рифатовна</w:t>
            </w:r>
          </w:p>
          <w:p w:rsidR="00C26194" w:rsidRPr="00C26194" w:rsidRDefault="00C26194" w:rsidP="00C26194">
            <w:pPr>
              <w:pStyle w:val="Default"/>
              <w:jc w:val="both"/>
            </w:pPr>
            <w:r w:rsidRPr="00D93D3D">
              <w:rPr>
                <w:bCs/>
              </w:rPr>
              <w:t>тел</w:t>
            </w:r>
            <w:r w:rsidRPr="00C26194">
              <w:rPr>
                <w:bCs/>
              </w:rPr>
              <w:t xml:space="preserve">. + 7 (347) 221-56-63, </w:t>
            </w:r>
            <w:r w:rsidRPr="00D93D3D">
              <w:rPr>
                <w:bCs/>
                <w:lang w:val="en-US"/>
              </w:rPr>
              <w:t>e</w:t>
            </w:r>
            <w:r w:rsidRPr="00C26194">
              <w:rPr>
                <w:bCs/>
              </w:rPr>
              <w:t>-</w:t>
            </w:r>
            <w:r w:rsidRPr="00D93D3D">
              <w:rPr>
                <w:bCs/>
                <w:lang w:val="en-US"/>
              </w:rPr>
              <w:t>mail</w:t>
            </w:r>
            <w:r w:rsidRPr="00C26194">
              <w:rPr>
                <w:bCs/>
              </w:rPr>
              <w:t>:</w:t>
            </w:r>
            <w:r w:rsidRPr="00C26194">
              <w:rPr>
                <w:rFonts w:eastAsia="Times New Roman"/>
                <w:color w:val="777777"/>
                <w:lang w:eastAsia="ru-RU"/>
              </w:rPr>
              <w:t xml:space="preserve"> </w:t>
            </w:r>
            <w:hyperlink r:id="rId31" w:history="1">
              <w:r w:rsidRPr="00815721">
                <w:rPr>
                  <w:rStyle w:val="a6"/>
                  <w:lang w:val="en-US"/>
                </w:rPr>
                <w:t>g</w:t>
              </w:r>
              <w:r w:rsidRPr="00C26194">
                <w:rPr>
                  <w:rStyle w:val="a6"/>
                </w:rPr>
                <w:t>.</w:t>
              </w:r>
              <w:r w:rsidRPr="00815721">
                <w:rPr>
                  <w:rStyle w:val="a6"/>
                  <w:lang w:val="en-US"/>
                </w:rPr>
                <w:t>fatkullina</w:t>
              </w:r>
              <w:r w:rsidRPr="00C26194">
                <w:rPr>
                  <w:rStyle w:val="a6"/>
                </w:rPr>
                <w:t>@</w:t>
              </w:r>
              <w:r w:rsidRPr="00815721">
                <w:rPr>
                  <w:rStyle w:val="a6"/>
                  <w:lang w:val="en-US"/>
                </w:rPr>
                <w:t>bashtel</w:t>
              </w:r>
              <w:r w:rsidRPr="00C26194">
                <w:rPr>
                  <w:rStyle w:val="a6"/>
                </w:rPr>
                <w:t>.</w:t>
              </w:r>
              <w:r w:rsidRPr="00815721">
                <w:rPr>
                  <w:rStyle w:val="a6"/>
                  <w:lang w:val="en-US"/>
                </w:rPr>
                <w:t>ru</w:t>
              </w:r>
            </w:hyperlink>
            <w:r w:rsidRPr="00C26194">
              <w:t xml:space="preserve"> </w:t>
            </w:r>
          </w:p>
          <w:p w:rsidR="00C26194" w:rsidRDefault="00C26194" w:rsidP="00C26194">
            <w:pPr>
              <w:pStyle w:val="Default"/>
              <w:jc w:val="both"/>
            </w:pPr>
            <w:r>
              <w:t>Кощеев Сергей Анатольевич</w:t>
            </w:r>
          </w:p>
          <w:p w:rsidR="00341A9D" w:rsidRPr="006442EF" w:rsidRDefault="00C26194" w:rsidP="00C26194">
            <w:pPr>
              <w:pStyle w:val="Default"/>
            </w:pPr>
            <w:r w:rsidRPr="00D93D3D">
              <w:rPr>
                <w:bCs/>
              </w:rPr>
              <w:t>тел</w:t>
            </w:r>
            <w:r w:rsidRPr="006442EF">
              <w:rPr>
                <w:bCs/>
              </w:rPr>
              <w:t xml:space="preserve">. + 7 (347) 221-54-18, </w:t>
            </w:r>
            <w:r w:rsidRPr="00D93D3D">
              <w:rPr>
                <w:bCs/>
                <w:lang w:val="en-US"/>
              </w:rPr>
              <w:t>e</w:t>
            </w:r>
            <w:r w:rsidRPr="006442EF">
              <w:rPr>
                <w:bCs/>
              </w:rPr>
              <w:t>-</w:t>
            </w:r>
            <w:r w:rsidRPr="00D93D3D">
              <w:rPr>
                <w:bCs/>
                <w:lang w:val="en-US"/>
              </w:rPr>
              <w:t>mail</w:t>
            </w:r>
            <w:r w:rsidRPr="006442EF">
              <w:rPr>
                <w:bCs/>
              </w:rPr>
              <w:t>:</w:t>
            </w:r>
            <w:r w:rsidRPr="006442EF">
              <w:rPr>
                <w:rFonts w:eastAsia="Times New Roman"/>
                <w:color w:val="777777"/>
                <w:lang w:eastAsia="ru-RU"/>
              </w:rPr>
              <w:t xml:space="preserve"> </w:t>
            </w:r>
            <w:hyperlink r:id="rId32" w:history="1">
              <w:r w:rsidRPr="00815721">
                <w:rPr>
                  <w:rStyle w:val="a6"/>
                  <w:lang w:val="en-US"/>
                </w:rPr>
                <w:t>Koshcheev</w:t>
              </w:r>
              <w:r w:rsidRPr="006442EF">
                <w:rPr>
                  <w:rStyle w:val="a6"/>
                </w:rPr>
                <w:t>@</w:t>
              </w:r>
              <w:r w:rsidRPr="00815721">
                <w:rPr>
                  <w:rStyle w:val="a6"/>
                  <w:lang w:val="en-US"/>
                </w:rPr>
                <w:t>bashtel</w:t>
              </w:r>
              <w:r w:rsidRPr="006442EF">
                <w:rPr>
                  <w:rStyle w:val="a6"/>
                </w:rPr>
                <w:t>.</w:t>
              </w:r>
              <w:r w:rsidRPr="00815721">
                <w:rPr>
                  <w:rStyle w:val="a6"/>
                  <w:lang w:val="en-US"/>
                </w:rPr>
                <w:t>ru</w:t>
              </w:r>
            </w:hyperlink>
            <w:r w:rsidRPr="006442EF">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6442E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1D3819" w:rsidP="00E455A3">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3A05EF">
            <w:r w:rsidRPr="005C24A0">
              <w:t>«</w:t>
            </w:r>
            <w:r w:rsidR="00220C69">
              <w:t>28</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220C69">
              <w:t>28</w:t>
            </w:r>
            <w:r w:rsidR="00FD0044" w:rsidRPr="00FD0044">
              <w:t>» марта 2018 года 1</w:t>
            </w:r>
            <w:r w:rsidR="00220C69">
              <w:t>2</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20C69" w:rsidP="003A05EF">
            <w:r>
              <w:rPr>
                <w:iCs/>
              </w:rPr>
              <w:t>«18</w:t>
            </w:r>
            <w:r w:rsidR="00710117" w:rsidRPr="00710117">
              <w:rPr>
                <w:iCs/>
              </w:rPr>
              <w:t xml:space="preserve">»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20C69" w:rsidP="004E1E0B">
            <w:r>
              <w:rPr>
                <w:iCs/>
              </w:rPr>
              <w:t>«18</w:t>
            </w:r>
            <w:r w:rsidR="00710117" w:rsidRPr="00710117">
              <w:rPr>
                <w:iCs/>
              </w:rPr>
              <w:t xml:space="preserve">» апреля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10117" w:rsidRPr="00922226" w:rsidRDefault="00710117" w:rsidP="00710117">
            <w:r w:rsidRPr="00922226">
              <w:rPr>
                <w:b/>
              </w:rPr>
              <w:t>Рассмотрение Заявок</w:t>
            </w:r>
            <w:r w:rsidRPr="00922226">
              <w:t xml:space="preserve">: </w:t>
            </w:r>
            <w:r w:rsidRPr="00654835">
              <w:t>«</w:t>
            </w:r>
            <w:r w:rsidR="00220C69">
              <w:t>26</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Оценка и сопоставление Заявок</w:t>
            </w:r>
            <w:r w:rsidRPr="00922226">
              <w:t xml:space="preserve">: </w:t>
            </w:r>
            <w:r w:rsidRPr="00C66D83">
              <w:t>«</w:t>
            </w:r>
            <w:r w:rsidR="00220C69">
              <w:t>26</w:t>
            </w:r>
            <w:r w:rsidRPr="00C66D83">
              <w:t xml:space="preserve">» апреля </w:t>
            </w:r>
            <w:r w:rsidRPr="00654835">
              <w:t xml:space="preserve">2018 </w:t>
            </w:r>
            <w:r w:rsidRPr="00922226">
              <w:rPr>
                <w:iCs/>
              </w:rPr>
              <w:t>года</w:t>
            </w:r>
            <w:r w:rsidRPr="00922226">
              <w:t xml:space="preserve"> в 16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Подведение итогов закупки</w:t>
            </w:r>
            <w:r w:rsidR="00220C69">
              <w:t xml:space="preserve"> «11</w:t>
            </w:r>
            <w:r>
              <w:t>»</w:t>
            </w:r>
            <w:r w:rsidRPr="00922226">
              <w:t xml:space="preserve"> </w:t>
            </w:r>
            <w:r w:rsidR="00220C69">
              <w:t>ма</w:t>
            </w:r>
            <w:r>
              <w:t>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30385A">
              <w:rPr>
                <w:b/>
              </w:rPr>
              <w:t>28</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30385A">
              <w:rPr>
                <w:b/>
              </w:rPr>
              <w:t>13</w:t>
            </w:r>
            <w:r w:rsidRPr="006F5D2B">
              <w:rPr>
                <w:b/>
              </w:rPr>
              <w:t xml:space="preserve">» </w:t>
            </w:r>
            <w:r w:rsidR="0030385A">
              <w:rPr>
                <w:b/>
              </w:rPr>
              <w:t>апреля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iCs/>
                <w:color w:val="000000"/>
                <w:lang w:eastAsia="en-US"/>
              </w:rPr>
            </w:pPr>
            <w:r w:rsidRPr="003A05EF">
              <w:rPr>
                <w:rFonts w:eastAsia="Calibri"/>
                <w:iCs/>
                <w:color w:val="000000"/>
                <w:lang w:eastAsia="en-US"/>
              </w:rPr>
              <w:t xml:space="preserve">Право на заключение договора на поставку </w:t>
            </w:r>
            <w:r w:rsidR="00A06278">
              <w:rPr>
                <w:rFonts w:eastAsia="Calibri"/>
                <w:iCs/>
                <w:color w:val="000000"/>
                <w:lang w:eastAsia="en-US"/>
              </w:rPr>
              <w:t>электротехнических материалов</w:t>
            </w:r>
            <w:r w:rsidRPr="003A05EF">
              <w:rPr>
                <w:rFonts w:eastAsia="Calibri"/>
                <w:iCs/>
                <w:color w:val="000000"/>
                <w:lang w:eastAsia="en-US"/>
              </w:rPr>
              <w:t>.</w:t>
            </w:r>
          </w:p>
          <w:p w:rsidR="003A05EF" w:rsidRDefault="003A05EF"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E634F" w:rsidRDefault="00710117" w:rsidP="00CE634F">
            <w:pPr>
              <w:autoSpaceDE w:val="0"/>
              <w:autoSpaceDN w:val="0"/>
              <w:adjustRightInd w:val="0"/>
              <w:jc w:val="both"/>
              <w:rPr>
                <w:rFonts w:eastAsia="Calibri"/>
                <w:iCs/>
                <w:color w:val="000000"/>
              </w:rPr>
            </w:pPr>
            <w:r>
              <w:rPr>
                <w:rFonts w:eastAsia="Calibri"/>
                <w:iCs/>
                <w:color w:val="000000"/>
              </w:rPr>
              <w:t xml:space="preserve">      </w:t>
            </w:r>
            <w:r w:rsidR="00CE634F" w:rsidRPr="00D15BA2">
              <w:rPr>
                <w:rFonts w:eastAsia="Calibri"/>
                <w:iCs/>
                <w:color w:val="000000"/>
              </w:rPr>
              <w:t xml:space="preserve">Начальная (максимальная) цена договора составляет </w:t>
            </w:r>
            <w:r w:rsidR="00CE634F">
              <w:rPr>
                <w:rFonts w:eastAsia="Calibri"/>
                <w:iCs/>
                <w:color w:val="000000"/>
              </w:rPr>
              <w:t xml:space="preserve">2 </w:t>
            </w:r>
            <w:r w:rsidR="00CE634F" w:rsidRPr="00710117">
              <w:rPr>
                <w:rFonts w:eastAsia="Calibri"/>
                <w:iCs/>
                <w:color w:val="000000"/>
              </w:rPr>
              <w:t>5</w:t>
            </w:r>
            <w:r w:rsidR="00CE634F">
              <w:rPr>
                <w:rFonts w:eastAsia="Calibri"/>
                <w:iCs/>
                <w:color w:val="000000"/>
              </w:rPr>
              <w:t>0</w:t>
            </w:r>
            <w:r w:rsidR="00CE634F" w:rsidRPr="00710117">
              <w:rPr>
                <w:rFonts w:eastAsia="Calibri"/>
                <w:iCs/>
                <w:color w:val="000000"/>
              </w:rPr>
              <w:t>0 000</w:t>
            </w:r>
            <w:r w:rsidR="00CE634F">
              <w:rPr>
                <w:rFonts w:eastAsia="Calibri"/>
                <w:iCs/>
                <w:color w:val="000000"/>
              </w:rPr>
              <w:t xml:space="preserve">,00 руб. </w:t>
            </w:r>
          </w:p>
          <w:p w:rsidR="00CE634F" w:rsidRPr="00D15BA2" w:rsidRDefault="00CE634F" w:rsidP="00CE634F">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Два миллиона пятьсот </w:t>
            </w:r>
            <w:r w:rsidRPr="00D15BA2">
              <w:rPr>
                <w:rFonts w:eastAsia="Calibri"/>
                <w:iCs/>
                <w:color w:val="000000"/>
              </w:rPr>
              <w:t>тысяч</w:t>
            </w:r>
            <w:r>
              <w:rPr>
                <w:rFonts w:eastAsia="Calibri"/>
                <w:iCs/>
                <w:color w:val="000000"/>
              </w:rPr>
              <w:t>)</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 в том числе сумма НДС (18%)</w:t>
            </w:r>
            <w:r>
              <w:rPr>
                <w:rFonts w:eastAsia="Calibri"/>
                <w:iCs/>
                <w:color w:val="000000"/>
              </w:rPr>
              <w:t xml:space="preserve"> 381 355,93</w:t>
            </w:r>
            <w:r w:rsidRPr="00D15BA2">
              <w:rPr>
                <w:rFonts w:eastAsia="Calibri"/>
                <w:iCs/>
                <w:color w:val="000000"/>
              </w:rPr>
              <w:t xml:space="preserve"> рублей.</w:t>
            </w:r>
          </w:p>
          <w:p w:rsidR="00CE634F" w:rsidRDefault="00CE634F" w:rsidP="00CE634F">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Pr>
                <w:rFonts w:eastAsia="Calibri"/>
                <w:iCs/>
                <w:color w:val="000000"/>
              </w:rPr>
              <w:t xml:space="preserve">2 118 644,07 руб. </w:t>
            </w:r>
          </w:p>
          <w:p w:rsidR="00027204" w:rsidRDefault="00CE634F" w:rsidP="00CE634F">
            <w:pPr>
              <w:jc w:val="both"/>
              <w:rPr>
                <w:iCs/>
              </w:rPr>
            </w:pPr>
            <w:r w:rsidRPr="00736155">
              <w:rPr>
                <w:rFonts w:eastAsia="Calibri"/>
                <w:iCs/>
                <w:color w:val="000000"/>
              </w:rPr>
              <w:t>(</w:t>
            </w:r>
            <w:r>
              <w:rPr>
                <w:rFonts w:eastAsia="Calibri"/>
                <w:iCs/>
                <w:color w:val="000000"/>
              </w:rPr>
              <w:t xml:space="preserve">Два миллиона сто восемнадцать тысяч шестьсот сорок четыре) </w:t>
            </w:r>
            <w:r w:rsidRPr="00D15BA2">
              <w:rPr>
                <w:rFonts w:eastAsia="Calibri"/>
                <w:iCs/>
                <w:color w:val="000000"/>
              </w:rPr>
              <w:t>рубл</w:t>
            </w:r>
            <w:r>
              <w:rPr>
                <w:rFonts w:eastAsia="Calibri"/>
                <w:iCs/>
                <w:color w:val="000000"/>
              </w:rPr>
              <w:t>я</w:t>
            </w:r>
            <w:r w:rsidRPr="00D15BA2">
              <w:rPr>
                <w:rFonts w:eastAsia="Calibri"/>
                <w:iCs/>
                <w:color w:val="000000"/>
              </w:rPr>
              <w:t xml:space="preserve"> </w:t>
            </w:r>
            <w:r>
              <w:rPr>
                <w:rFonts w:eastAsia="Calibri"/>
                <w:iCs/>
                <w:color w:val="000000"/>
              </w:rPr>
              <w:t>07</w:t>
            </w:r>
            <w:r w:rsidRPr="00D15BA2">
              <w:rPr>
                <w:rFonts w:eastAsia="Calibri"/>
                <w:iCs/>
                <w:color w:val="000000"/>
              </w:rPr>
              <w:t xml:space="preserve"> коп. без НДС.</w:t>
            </w: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1D3819" w:rsidRPr="00F84878" w:rsidTr="00E455A3">
              <w:tc>
                <w:tcPr>
                  <w:tcW w:w="3572" w:type="dxa"/>
                  <w:shd w:val="clear" w:color="auto" w:fill="auto"/>
                </w:tcPr>
                <w:p w:rsidR="001D3819" w:rsidRPr="00C02AE1" w:rsidRDefault="001D3819" w:rsidP="001D3819">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1D3819" w:rsidRPr="00C02AE1" w:rsidRDefault="001D3819" w:rsidP="001D3819">
                  <w:pPr>
                    <w:jc w:val="both"/>
                    <w:rPr>
                      <w:rFonts w:cs="Arial"/>
                      <w:color w:val="000000"/>
                    </w:rPr>
                  </w:pPr>
                </w:p>
                <w:p w:rsidR="001D3819" w:rsidRPr="00C02AE1" w:rsidRDefault="001D3819" w:rsidP="001D3819">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1D3819" w:rsidRPr="00C02AE1" w:rsidRDefault="001D3819" w:rsidP="001D3819">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1D3819" w:rsidRPr="00C02AE1" w:rsidRDefault="001D3819" w:rsidP="001D3819">
                  <w:pPr>
                    <w:jc w:val="both"/>
                    <w:rPr>
                      <w:rFonts w:cs="Arial"/>
                      <w:color w:val="000000"/>
                    </w:rPr>
                  </w:pPr>
                </w:p>
                <w:p w:rsidR="001D3819" w:rsidRPr="00D82466" w:rsidRDefault="001D3819" w:rsidP="001D3819">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1D3819" w:rsidP="001D3819">
                  <w:pPr>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1D3819" w:rsidP="00FD0044">
                  <w:pPr>
                    <w:autoSpaceDE w:val="0"/>
                    <w:autoSpaceDN w:val="0"/>
                    <w:adjustRightInd w:val="0"/>
                    <w:ind w:firstLine="204"/>
                    <w:jc w:val="both"/>
                    <w:rPr>
                      <w:rFonts w:cs="Arial"/>
                      <w:color w:val="000000"/>
                    </w:rPr>
                  </w:pPr>
                  <w:r>
                    <w:rPr>
                      <w:rFonts w:cs="Arial"/>
                      <w:color w:val="000000"/>
                    </w:rPr>
                    <w:t>7</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75E6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375E6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Default="0062508F" w:rsidP="00324B8E">
      <w:pPr>
        <w:pStyle w:val="rvps1"/>
        <w:jc w:val="left"/>
      </w:pPr>
    </w:p>
    <w:p w:rsidR="00324B8E" w:rsidRPr="005C24A0" w:rsidRDefault="00EC7B52" w:rsidP="00324B8E">
      <w:pPr>
        <w:pStyle w:val="rvps1"/>
        <w:jc w:val="left"/>
      </w:pPr>
      <w:r w:rsidRPr="00EC7B52">
        <w:t>Техническое задание</w:t>
      </w:r>
      <w:r w:rsidR="0062508F">
        <w:t xml:space="preserve"> представлен</w:t>
      </w:r>
      <w:r>
        <w:t>о</w:t>
      </w:r>
      <w:r w:rsidR="0062508F">
        <w:t xml:space="preserve"> </w:t>
      </w:r>
      <w:r w:rsidR="00324B8E">
        <w:t>в отдельном файле «</w:t>
      </w:r>
      <w:r w:rsidR="00324B8E" w:rsidRPr="00324B8E">
        <w:t>Техническое задание</w:t>
      </w:r>
      <w:r w:rsidR="00324B8E">
        <w:t>»</w:t>
      </w:r>
    </w:p>
    <w:p w:rsidR="00FC474B" w:rsidRDefault="00FC474B" w:rsidP="00D222FA">
      <w:pPr>
        <w:rPr>
          <w:rFonts w:eastAsia="MS Mincho"/>
          <w:lang w:eastAsia="x-none"/>
        </w:rPr>
        <w:sectPr w:rsidR="00FC474B" w:rsidSect="0062508F">
          <w:headerReference w:type="default" r:id="rId49"/>
          <w:footerReference w:type="even" r:id="rId50"/>
          <w:footerReference w:type="default" r:id="rId51"/>
          <w:footerReference w:type="first" r:id="rId52"/>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175" w:rsidRDefault="00213175" w:rsidP="00341A9D">
      <w:r>
        <w:separator/>
      </w:r>
    </w:p>
  </w:endnote>
  <w:endnote w:type="continuationSeparator" w:id="0">
    <w:p w:rsidR="00213175" w:rsidRDefault="0021317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75" w:rsidRDefault="0021317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13175" w:rsidRDefault="00213175"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75" w:rsidRPr="008A1893" w:rsidRDefault="0021317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213175" w:rsidRDefault="00213175"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75" w:rsidRPr="003F6B57" w:rsidRDefault="00213175" w:rsidP="00AA1CAF">
    <w:pPr>
      <w:pStyle w:val="ab"/>
      <w:jc w:val="right"/>
    </w:pPr>
    <w:r w:rsidRPr="00BD3C17">
      <w:fldChar w:fldCharType="begin"/>
    </w:r>
    <w:r w:rsidRPr="00BD3C17">
      <w:instrText>PAGE   \* MERGEFORMAT</w:instrText>
    </w:r>
    <w:r w:rsidRPr="00BD3C17">
      <w:fldChar w:fldCharType="separate"/>
    </w:r>
    <w:r w:rsidR="00375E6A">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175" w:rsidRDefault="00213175" w:rsidP="00341A9D">
      <w:r>
        <w:separator/>
      </w:r>
    </w:p>
  </w:footnote>
  <w:footnote w:type="continuationSeparator" w:id="0">
    <w:p w:rsidR="00213175" w:rsidRDefault="00213175" w:rsidP="00341A9D">
      <w:r>
        <w:continuationSeparator/>
      </w:r>
    </w:p>
  </w:footnote>
  <w:footnote w:id="1">
    <w:p w:rsidR="00213175" w:rsidRDefault="0021317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13175" w:rsidRPr="009831A8" w:rsidRDefault="0021317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213175" w:rsidRPr="00DD3C81" w:rsidRDefault="0021317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75" w:rsidRDefault="00213175">
    <w:pPr>
      <w:pStyle w:val="a9"/>
      <w:jc w:val="center"/>
    </w:pPr>
  </w:p>
  <w:p w:rsidR="00213175" w:rsidRDefault="0021317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75" w:rsidRPr="00BD3C17" w:rsidRDefault="00213175"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2E6A"/>
    <w:rsid w:val="00047A20"/>
    <w:rsid w:val="00053745"/>
    <w:rsid w:val="00054CFA"/>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B43B5"/>
    <w:rsid w:val="001C1011"/>
    <w:rsid w:val="001C169B"/>
    <w:rsid w:val="001D2447"/>
    <w:rsid w:val="001D3819"/>
    <w:rsid w:val="001D46BA"/>
    <w:rsid w:val="001E3FD5"/>
    <w:rsid w:val="0020302D"/>
    <w:rsid w:val="00203893"/>
    <w:rsid w:val="00212569"/>
    <w:rsid w:val="00212CA9"/>
    <w:rsid w:val="00213175"/>
    <w:rsid w:val="00217C78"/>
    <w:rsid w:val="00220C69"/>
    <w:rsid w:val="00226485"/>
    <w:rsid w:val="00226868"/>
    <w:rsid w:val="00237D27"/>
    <w:rsid w:val="00241455"/>
    <w:rsid w:val="002451D5"/>
    <w:rsid w:val="002452AB"/>
    <w:rsid w:val="0026494D"/>
    <w:rsid w:val="00266CE6"/>
    <w:rsid w:val="002707E0"/>
    <w:rsid w:val="00275863"/>
    <w:rsid w:val="00280441"/>
    <w:rsid w:val="002843B7"/>
    <w:rsid w:val="00292082"/>
    <w:rsid w:val="002941C0"/>
    <w:rsid w:val="00296FC9"/>
    <w:rsid w:val="00297AE9"/>
    <w:rsid w:val="002A6D1F"/>
    <w:rsid w:val="002B78D3"/>
    <w:rsid w:val="002D20EC"/>
    <w:rsid w:val="002D2A2F"/>
    <w:rsid w:val="002D5EAF"/>
    <w:rsid w:val="002D76B8"/>
    <w:rsid w:val="002E1E95"/>
    <w:rsid w:val="0030385A"/>
    <w:rsid w:val="003042C3"/>
    <w:rsid w:val="00304E21"/>
    <w:rsid w:val="00307339"/>
    <w:rsid w:val="003078AC"/>
    <w:rsid w:val="003136C4"/>
    <w:rsid w:val="00324114"/>
    <w:rsid w:val="003244D4"/>
    <w:rsid w:val="00324B8E"/>
    <w:rsid w:val="003276CF"/>
    <w:rsid w:val="00341A9D"/>
    <w:rsid w:val="0034261D"/>
    <w:rsid w:val="00351857"/>
    <w:rsid w:val="00351E23"/>
    <w:rsid w:val="00351F1A"/>
    <w:rsid w:val="003665F3"/>
    <w:rsid w:val="00375E6A"/>
    <w:rsid w:val="00376491"/>
    <w:rsid w:val="003924EA"/>
    <w:rsid w:val="003A05EF"/>
    <w:rsid w:val="003B02A1"/>
    <w:rsid w:val="003B24C5"/>
    <w:rsid w:val="003B6B1E"/>
    <w:rsid w:val="003C289F"/>
    <w:rsid w:val="003C6C38"/>
    <w:rsid w:val="003D72AA"/>
    <w:rsid w:val="003F0652"/>
    <w:rsid w:val="0040139F"/>
    <w:rsid w:val="004035D2"/>
    <w:rsid w:val="00411C41"/>
    <w:rsid w:val="00413C6B"/>
    <w:rsid w:val="004227D0"/>
    <w:rsid w:val="00424F6C"/>
    <w:rsid w:val="00425F7A"/>
    <w:rsid w:val="00436EFE"/>
    <w:rsid w:val="00440601"/>
    <w:rsid w:val="00447F2E"/>
    <w:rsid w:val="0045260E"/>
    <w:rsid w:val="004560D5"/>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375C8"/>
    <w:rsid w:val="00540CAB"/>
    <w:rsid w:val="0055103C"/>
    <w:rsid w:val="00553301"/>
    <w:rsid w:val="0055498D"/>
    <w:rsid w:val="00575098"/>
    <w:rsid w:val="005906B2"/>
    <w:rsid w:val="005D29E3"/>
    <w:rsid w:val="005D6D4A"/>
    <w:rsid w:val="005E65EC"/>
    <w:rsid w:val="005E74DF"/>
    <w:rsid w:val="005E7E59"/>
    <w:rsid w:val="0061741D"/>
    <w:rsid w:val="00622767"/>
    <w:rsid w:val="0062508F"/>
    <w:rsid w:val="00631CA2"/>
    <w:rsid w:val="006356A5"/>
    <w:rsid w:val="006442EF"/>
    <w:rsid w:val="00654835"/>
    <w:rsid w:val="00663E3C"/>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F53E9"/>
    <w:rsid w:val="006F5D2B"/>
    <w:rsid w:val="006F7620"/>
    <w:rsid w:val="00707000"/>
    <w:rsid w:val="00710117"/>
    <w:rsid w:val="007160C2"/>
    <w:rsid w:val="00731C3B"/>
    <w:rsid w:val="00736155"/>
    <w:rsid w:val="00741ED9"/>
    <w:rsid w:val="00762081"/>
    <w:rsid w:val="007729D3"/>
    <w:rsid w:val="00776468"/>
    <w:rsid w:val="0078746B"/>
    <w:rsid w:val="00787E9A"/>
    <w:rsid w:val="00787ECE"/>
    <w:rsid w:val="0079150D"/>
    <w:rsid w:val="0079619B"/>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2A06"/>
    <w:rsid w:val="00997336"/>
    <w:rsid w:val="009A0E39"/>
    <w:rsid w:val="009B5C08"/>
    <w:rsid w:val="009B620F"/>
    <w:rsid w:val="009C4481"/>
    <w:rsid w:val="009C502D"/>
    <w:rsid w:val="00A00B75"/>
    <w:rsid w:val="00A06278"/>
    <w:rsid w:val="00A356F2"/>
    <w:rsid w:val="00A36207"/>
    <w:rsid w:val="00A40979"/>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027C"/>
    <w:rsid w:val="00B03167"/>
    <w:rsid w:val="00B046BC"/>
    <w:rsid w:val="00B05462"/>
    <w:rsid w:val="00B20061"/>
    <w:rsid w:val="00B24482"/>
    <w:rsid w:val="00B26FA7"/>
    <w:rsid w:val="00B34C99"/>
    <w:rsid w:val="00B46EDB"/>
    <w:rsid w:val="00B53AB5"/>
    <w:rsid w:val="00B54862"/>
    <w:rsid w:val="00B9006D"/>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4022"/>
    <w:rsid w:val="00BF53DD"/>
    <w:rsid w:val="00C06697"/>
    <w:rsid w:val="00C07166"/>
    <w:rsid w:val="00C2221E"/>
    <w:rsid w:val="00C26194"/>
    <w:rsid w:val="00C30CAB"/>
    <w:rsid w:val="00C434FB"/>
    <w:rsid w:val="00C51035"/>
    <w:rsid w:val="00C52DA5"/>
    <w:rsid w:val="00C575AF"/>
    <w:rsid w:val="00C64372"/>
    <w:rsid w:val="00C66D83"/>
    <w:rsid w:val="00C76462"/>
    <w:rsid w:val="00C77060"/>
    <w:rsid w:val="00C771B8"/>
    <w:rsid w:val="00C90804"/>
    <w:rsid w:val="00C90BDF"/>
    <w:rsid w:val="00C91A75"/>
    <w:rsid w:val="00C933E2"/>
    <w:rsid w:val="00C95C6A"/>
    <w:rsid w:val="00C974A0"/>
    <w:rsid w:val="00CA14CF"/>
    <w:rsid w:val="00CA5F72"/>
    <w:rsid w:val="00CB5B32"/>
    <w:rsid w:val="00CC1AA3"/>
    <w:rsid w:val="00CC4ECD"/>
    <w:rsid w:val="00CC55FD"/>
    <w:rsid w:val="00CC6C4E"/>
    <w:rsid w:val="00CD062B"/>
    <w:rsid w:val="00CD5A00"/>
    <w:rsid w:val="00CE01C4"/>
    <w:rsid w:val="00CE1556"/>
    <w:rsid w:val="00CE2171"/>
    <w:rsid w:val="00CE634F"/>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90D06"/>
    <w:rsid w:val="00D96067"/>
    <w:rsid w:val="00D96AF7"/>
    <w:rsid w:val="00D96DCD"/>
    <w:rsid w:val="00DA35A0"/>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6055A"/>
    <w:rsid w:val="00E70A12"/>
    <w:rsid w:val="00E85023"/>
    <w:rsid w:val="00EA3477"/>
    <w:rsid w:val="00EA6572"/>
    <w:rsid w:val="00EB0525"/>
    <w:rsid w:val="00EB0952"/>
    <w:rsid w:val="00EB3BDD"/>
    <w:rsid w:val="00EB452B"/>
    <w:rsid w:val="00EC7B52"/>
    <w:rsid w:val="00ED7984"/>
    <w:rsid w:val="00EE31E1"/>
    <w:rsid w:val="00EF7045"/>
    <w:rsid w:val="00F022DA"/>
    <w:rsid w:val="00F05F24"/>
    <w:rsid w:val="00F21C79"/>
    <w:rsid w:val="00F22AB1"/>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Koshchee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Koshcheev@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fatkullina@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g.fatkullina@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A4395-543C-43B8-969C-9FD64E255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42</Pages>
  <Words>14679</Words>
  <Characters>83672</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39</cp:revision>
  <cp:lastPrinted>2018-03-28T08:29:00Z</cp:lastPrinted>
  <dcterms:created xsi:type="dcterms:W3CDTF">2018-02-22T10:11:00Z</dcterms:created>
  <dcterms:modified xsi:type="dcterms:W3CDTF">2018-03-28T08:29:00Z</dcterms:modified>
</cp:coreProperties>
</file>